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22" w:rsidRPr="00624FB6" w:rsidRDefault="00C54A36">
      <w:pPr>
        <w:ind w:firstLineChars="49" w:firstLine="216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 w:rsidRPr="00624FB6">
        <w:rPr>
          <w:rFonts w:ascii="宋体" w:hAnsi="宋体" w:hint="eastAsia"/>
          <w:b/>
          <w:bCs/>
          <w:sz w:val="44"/>
          <w:szCs w:val="44"/>
        </w:rPr>
        <w:t>虚拟现实院前急救训练系统</w:t>
      </w:r>
    </w:p>
    <w:p w:rsidR="00F53722" w:rsidRPr="00624FB6" w:rsidRDefault="00C54A36">
      <w:pPr>
        <w:ind w:firstLineChars="49" w:firstLine="216"/>
        <w:jc w:val="center"/>
        <w:rPr>
          <w:rFonts w:ascii="宋体" w:hAnsi="宋体"/>
          <w:b/>
          <w:bCs/>
          <w:sz w:val="44"/>
          <w:szCs w:val="44"/>
        </w:rPr>
      </w:pPr>
      <w:r w:rsidRPr="00624FB6">
        <w:rPr>
          <w:rFonts w:ascii="宋体" w:hAnsi="宋体" w:hint="eastAsia"/>
          <w:b/>
          <w:bCs/>
          <w:sz w:val="44"/>
          <w:szCs w:val="44"/>
        </w:rPr>
        <w:t>招标参数</w:t>
      </w:r>
    </w:p>
    <w:bookmarkEnd w:id="0"/>
    <w:p w:rsidR="00F53722" w:rsidRDefault="00F53722"/>
    <w:p w:rsidR="00F53722" w:rsidRDefault="00C54A36">
      <w:pPr>
        <w:numPr>
          <w:ilvl w:val="0"/>
          <w:numId w:val="1"/>
        </w:num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虚拟现实院前急救训练系统</w:t>
      </w:r>
    </w:p>
    <w:tbl>
      <w:tblPr>
        <w:tblpPr w:leftFromText="180" w:rightFromText="180" w:vertAnchor="text" w:horzAnchor="page" w:tblpX="1800" w:tblpY="138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981"/>
        <w:gridCol w:w="1521"/>
        <w:gridCol w:w="2175"/>
        <w:gridCol w:w="914"/>
      </w:tblGrid>
      <w:tr w:rsidR="00F53722">
        <w:trPr>
          <w:trHeight w:val="90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序号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项目名称</w:t>
            </w:r>
          </w:p>
        </w:tc>
        <w:tc>
          <w:tcPr>
            <w:tcW w:w="1521" w:type="dxa"/>
            <w:vAlign w:val="center"/>
          </w:tcPr>
          <w:p w:rsidR="00F53722" w:rsidRDefault="00C54A36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2175" w:type="dxa"/>
            <w:vAlign w:val="center"/>
          </w:tcPr>
          <w:p w:rsidR="00F53722" w:rsidRDefault="00C54A3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明细</w:t>
            </w: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数量</w:t>
            </w:r>
          </w:p>
        </w:tc>
      </w:tr>
      <w:tr w:rsidR="00F53722">
        <w:trPr>
          <w:trHeight w:val="317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VR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一体机头显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设备</w:t>
            </w:r>
          </w:p>
        </w:tc>
        <w:tc>
          <w:tcPr>
            <w:tcW w:w="1521" w:type="dxa"/>
            <w:vAlign w:val="center"/>
          </w:tcPr>
          <w:p w:rsidR="00F53722" w:rsidRDefault="00C54A36">
            <w:pPr>
              <w:widowControl/>
              <w:ind w:left="425" w:hanging="425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PICO</w:t>
            </w:r>
          </w:p>
        </w:tc>
        <w:tc>
          <w:tcPr>
            <w:tcW w:w="2175" w:type="dxa"/>
            <w:vAlign w:val="center"/>
          </w:tcPr>
          <w:p w:rsidR="00F53722" w:rsidRDefault="00F53722">
            <w:pPr>
              <w:widowControl/>
              <w:ind w:left="425" w:hanging="425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台</w:t>
            </w:r>
          </w:p>
        </w:tc>
      </w:tr>
      <w:tr w:rsidR="00F53722">
        <w:trPr>
          <w:trHeight w:val="317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院前急救虚拟培训系统</w:t>
            </w:r>
          </w:p>
        </w:tc>
        <w:tc>
          <w:tcPr>
            <w:tcW w:w="1521" w:type="dxa"/>
            <w:vAlign w:val="center"/>
          </w:tcPr>
          <w:p w:rsidR="00F53722" w:rsidRDefault="00C54A36">
            <w:pPr>
              <w:widowControl/>
              <w:ind w:left="425" w:hanging="425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旷索</w:t>
            </w:r>
          </w:p>
        </w:tc>
        <w:tc>
          <w:tcPr>
            <w:tcW w:w="2175" w:type="dxa"/>
            <w:vAlign w:val="center"/>
          </w:tcPr>
          <w:p w:rsidR="00F53722" w:rsidRDefault="00C54A36">
            <w:pPr>
              <w:widowControl/>
              <w:ind w:left="425" w:hanging="425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（基础技能、应急场景）</w:t>
            </w: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</w:tr>
      <w:tr w:rsidR="00F53722">
        <w:trPr>
          <w:trHeight w:val="90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大屏显示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器</w:t>
            </w:r>
          </w:p>
        </w:tc>
        <w:tc>
          <w:tcPr>
            <w:tcW w:w="1521" w:type="dxa"/>
            <w:vAlign w:val="center"/>
          </w:tcPr>
          <w:p w:rsidR="00F53722" w:rsidRDefault="00C54A36">
            <w:pPr>
              <w:widowControl/>
              <w:ind w:left="425" w:hanging="425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海尔</w:t>
            </w:r>
          </w:p>
        </w:tc>
        <w:tc>
          <w:tcPr>
            <w:tcW w:w="2175" w:type="dxa"/>
            <w:vAlign w:val="center"/>
          </w:tcPr>
          <w:p w:rsidR="00F53722" w:rsidRDefault="00F53722">
            <w:pPr>
              <w:widowControl/>
              <w:ind w:left="425" w:hanging="425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</w:tr>
      <w:tr w:rsidR="00F53722">
        <w:trPr>
          <w:trHeight w:val="317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高清无线投屏设备</w:t>
            </w:r>
          </w:p>
        </w:tc>
        <w:tc>
          <w:tcPr>
            <w:tcW w:w="1521" w:type="dxa"/>
            <w:vAlign w:val="center"/>
          </w:tcPr>
          <w:p w:rsidR="00F53722" w:rsidRDefault="00C54A36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海备思</w:t>
            </w:r>
          </w:p>
        </w:tc>
        <w:tc>
          <w:tcPr>
            <w:tcW w:w="2175" w:type="dxa"/>
            <w:vAlign w:val="center"/>
          </w:tcPr>
          <w:p w:rsidR="00F53722" w:rsidRDefault="00F5372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</w:tr>
      <w:tr w:rsidR="00F53722">
        <w:trPr>
          <w:trHeight w:val="317"/>
        </w:trPr>
        <w:tc>
          <w:tcPr>
            <w:tcW w:w="930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2981" w:type="dxa"/>
            <w:vAlign w:val="center"/>
          </w:tcPr>
          <w:p w:rsidR="00F53722" w:rsidRDefault="00C54A3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配件</w:t>
            </w:r>
          </w:p>
        </w:tc>
        <w:tc>
          <w:tcPr>
            <w:tcW w:w="1521" w:type="dxa"/>
            <w:vAlign w:val="center"/>
          </w:tcPr>
          <w:p w:rsidR="00F53722" w:rsidRDefault="00F53722">
            <w:pPr>
              <w:widowControl/>
              <w:jc w:val="center"/>
              <w:textAlignment w:val="center"/>
            </w:pPr>
          </w:p>
        </w:tc>
        <w:tc>
          <w:tcPr>
            <w:tcW w:w="2175" w:type="dxa"/>
            <w:vAlign w:val="center"/>
          </w:tcPr>
          <w:p w:rsidR="00F53722" w:rsidRDefault="00C54A3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路由器、连接线等</w:t>
            </w:r>
          </w:p>
        </w:tc>
        <w:tc>
          <w:tcPr>
            <w:tcW w:w="914" w:type="dxa"/>
          </w:tcPr>
          <w:p w:rsidR="00F53722" w:rsidRDefault="00C54A36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</w:tr>
    </w:tbl>
    <w:p w:rsidR="00F53722" w:rsidRDefault="00F53722">
      <w:pPr>
        <w:rPr>
          <w:rFonts w:ascii="黑体" w:eastAsia="黑体" w:hAnsi="黑体" w:cs="黑体"/>
          <w:szCs w:val="21"/>
        </w:rPr>
      </w:pPr>
    </w:p>
    <w:p w:rsidR="00F53722" w:rsidRDefault="00C54A36">
      <w:pPr>
        <w:widowControl/>
        <w:textAlignment w:val="center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1</w:t>
      </w:r>
      <w:r>
        <w:rPr>
          <w:rFonts w:ascii="微软雅黑" w:eastAsia="微软雅黑" w:hAnsi="微软雅黑" w:cs="微软雅黑" w:hint="eastAsia"/>
          <w:b/>
          <w:bCs/>
          <w:szCs w:val="21"/>
        </w:rPr>
        <w:t>院前急救虚拟培训</w:t>
      </w:r>
      <w:r>
        <w:rPr>
          <w:rFonts w:ascii="微软雅黑" w:eastAsia="微软雅黑" w:hAnsi="微软雅黑" w:cs="微软雅黑" w:hint="eastAsia"/>
          <w:b/>
          <w:bCs/>
          <w:szCs w:val="21"/>
        </w:rPr>
        <w:t>软件</w:t>
      </w:r>
      <w:r>
        <w:rPr>
          <w:rFonts w:ascii="微软雅黑" w:eastAsia="微软雅黑" w:hAnsi="微软雅黑" w:cs="微软雅黑" w:hint="eastAsia"/>
          <w:b/>
          <w:bCs/>
          <w:szCs w:val="21"/>
        </w:rPr>
        <w:t>系统</w:t>
      </w:r>
      <w:r>
        <w:rPr>
          <w:rFonts w:ascii="微软雅黑" w:eastAsia="微软雅黑" w:hAnsi="微软雅黑" w:cs="微软雅黑" w:hint="eastAsia"/>
          <w:b/>
          <w:bCs/>
          <w:szCs w:val="21"/>
        </w:rPr>
        <w:t>：</w:t>
      </w:r>
    </w:p>
    <w:p w:rsidR="00F53722" w:rsidRDefault="00C54A36">
      <w:pPr>
        <w:adjustRightInd w:val="0"/>
        <w:snapToGrid w:val="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Arial" w:eastAsia="微软雅黑" w:hAnsi="Arial" w:cs="Arial" w:hint="eastAsia"/>
          <w:b/>
          <w:color w:val="FF0000"/>
          <w:sz w:val="30"/>
          <w:szCs w:val="30"/>
        </w:rPr>
        <w:t xml:space="preserve"> </w:t>
      </w: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软件分为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大模块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专业急救技能训练模块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灾难场景自救互救模块</w:t>
      </w:r>
      <w:r>
        <w:rPr>
          <w:rFonts w:ascii="微软雅黑" w:eastAsia="微软雅黑" w:hAnsi="微软雅黑" w:cs="微软雅黑" w:hint="eastAsia"/>
          <w:bCs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心肺复苏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符合最新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AHA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指南要求。虚拟现实院前急救虚拟培训系统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CPR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软件著作权登记证书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虚拟现实院前急救虚拟培训系统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包扎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软件著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作权登记证书</w:t>
      </w:r>
      <w:r>
        <w:rPr>
          <w:rFonts w:ascii="微软雅黑" w:eastAsia="微软雅黑" w:hAnsi="微软雅黑" w:cs="微软雅黑" w:hint="eastAsia"/>
          <w:sz w:val="18"/>
          <w:szCs w:val="18"/>
        </w:rPr>
        <w:t>（上述相关软件著作权证书提供复印件，原件备查）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</w:p>
    <w:p w:rsidR="00F53722" w:rsidRDefault="00C54A36">
      <w:pPr>
        <w:adjustRightInd w:val="0"/>
        <w:snapToGrid w:val="0"/>
        <w:rPr>
          <w:rFonts w:ascii="黑体" w:eastAsia="微软雅黑" w:hAnsi="黑体" w:cs="黑体"/>
          <w:sz w:val="24"/>
        </w:rPr>
      </w:pP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微软雅黑" w:eastAsia="微软雅黑" w:hAnsi="微软雅黑" w:cs="微软雅黑" w:hint="eastAsia"/>
          <w:sz w:val="18"/>
          <w:szCs w:val="18"/>
        </w:rPr>
        <w:t>软件支持扩容：可扩大</w:t>
      </w:r>
      <w:r>
        <w:rPr>
          <w:rFonts w:ascii="微软雅黑" w:eastAsia="微软雅黑" w:hAnsi="微软雅黑" w:cs="微软雅黑" w:hint="eastAsia"/>
          <w:sz w:val="18"/>
          <w:szCs w:val="18"/>
        </w:rPr>
        <w:t>20</w:t>
      </w:r>
      <w:r>
        <w:rPr>
          <w:rFonts w:ascii="微软雅黑" w:eastAsia="微软雅黑" w:hAnsi="微软雅黑" w:cs="微软雅黑" w:hint="eastAsia"/>
          <w:sz w:val="18"/>
          <w:szCs w:val="18"/>
        </w:rPr>
        <w:t>个模块。</w:t>
      </w:r>
    </w:p>
    <w:p w:rsidR="00F53722" w:rsidRDefault="00C54A36">
      <w:pPr>
        <w:adjustRightInd w:val="0"/>
        <w:snapToGrid w:val="0"/>
        <w:rPr>
          <w:rFonts w:ascii="Arial" w:eastAsia="微软雅黑" w:hAnsi="Arial" w:cs="Arial"/>
          <w:b/>
          <w:color w:val="FF0000"/>
          <w:sz w:val="18"/>
          <w:szCs w:val="18"/>
        </w:rPr>
      </w:pP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Arial" w:eastAsia="微软雅黑" w:hAnsi="Arial" w:cs="Arial" w:hint="eastAsia"/>
          <w:b/>
          <w:sz w:val="18"/>
          <w:szCs w:val="18"/>
        </w:rPr>
        <w:t>1.1</w:t>
      </w:r>
      <w:r>
        <w:rPr>
          <w:rFonts w:ascii="Arial" w:eastAsia="微软雅黑" w:hAnsi="Arial" w:cs="Arial" w:hint="eastAsia"/>
          <w:b/>
          <w:sz w:val="18"/>
          <w:szCs w:val="18"/>
        </w:rPr>
        <w:t>功能模块包含：</w:t>
      </w:r>
    </w:p>
    <w:p w:rsidR="00F53722" w:rsidRDefault="00C54A36">
      <w:pPr>
        <w:adjustRightInd w:val="0"/>
        <w:snapToGrid w:val="0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专业急救技能训练模块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一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按压止血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创伤包扎骨折固定训练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心肺复苏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AED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教学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四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气道梗阻（海姆立克急救法）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五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搬运转运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训练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（六）检伤分类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等。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C54A36">
      <w:pPr>
        <w:rPr>
          <w:rFonts w:ascii="黑体" w:eastAsia="黑体" w:hAnsi="黑体" w:cs="黑体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灾难场景自救互救模块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(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一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车祸救援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地铁踩踏事件。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C54A36">
      <w:pPr>
        <w:rPr>
          <w:rFonts w:ascii="Arial" w:eastAsia="微软雅黑" w:hAnsi="Arial" w:cs="Arial"/>
          <w:b/>
          <w:sz w:val="18"/>
          <w:szCs w:val="18"/>
        </w:rPr>
      </w:pP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Arial" w:eastAsia="微软雅黑" w:hAnsi="Arial" w:cs="Arial" w:hint="eastAsia"/>
          <w:b/>
          <w:sz w:val="18"/>
          <w:szCs w:val="18"/>
        </w:rPr>
        <w:t>1.2</w:t>
      </w:r>
      <w:r>
        <w:rPr>
          <w:rFonts w:ascii="Arial" w:eastAsia="微软雅黑" w:hAnsi="Arial" w:cs="Arial" w:hint="eastAsia"/>
          <w:b/>
          <w:sz w:val="18"/>
          <w:szCs w:val="18"/>
        </w:rPr>
        <w:t>内容明细</w:t>
      </w:r>
    </w:p>
    <w:p w:rsidR="00F53722" w:rsidRDefault="00C54A36">
      <w:pPr>
        <w:rPr>
          <w:rFonts w:ascii="黑体" w:eastAsia="黑体" w:hAnsi="黑体" w:cs="黑体"/>
          <w:sz w:val="24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按压止血：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在虚拟环境中，模拟伤者肢体出血，学员通过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交互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设备在虚拟环境中对伤者进行按压部位和按压方法的学习训练。涵盖以下部位：面动脉、颞浅动脉、肱动脉、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绕尺动脉、股动脉。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F53722">
      <w:pPr>
        <w:rPr>
          <w:rFonts w:ascii="黑体" w:eastAsia="黑体" w:hAnsi="黑体" w:cs="黑体"/>
          <w:sz w:val="24"/>
        </w:rPr>
      </w:pPr>
    </w:p>
    <w:p w:rsidR="00F53722" w:rsidRDefault="00C54A36">
      <w:pPr>
        <w:adjustRightInd w:val="0"/>
        <w:snapToGrid w:val="0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创伤包扎骨折固定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: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在虚拟环境中模拟伤者出血、骨折后，学员通过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交互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设备在虚拟环境中进行伤口清洁、止血、绷带包扎、骨折固定、悬吊、末梢环检查等仿真操作训练。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获取在虚拟仿真下沉浸感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提供步骤性操作，完整的包扎流程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提供语音指导与文字指示</w:t>
      </w:r>
    </w:p>
    <w:p w:rsidR="00F53722" w:rsidRDefault="00C54A36">
      <w:pPr>
        <w:rPr>
          <w:rFonts w:ascii="黑体" w:eastAsia="黑体" w:hAnsi="黑体" w:cs="黑体"/>
          <w:sz w:val="24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虚拟中提供完整的器械、人物、环境</w:t>
      </w:r>
    </w:p>
    <w:p w:rsidR="00F53722" w:rsidRDefault="00C54A36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地铁踩踏事件：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介绍易发生踩踏事件的地点、和发生踩踏事件的危害。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模拟地铁内多人踩踏事件发生后的情景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用三维动画的形式展现事件发生的过程、演示发生踩踏事件后正确和错误的自我保护动作。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用沉浸式三维动画的形式展现正确的逃生方式，和注意事项</w:t>
      </w:r>
    </w:p>
    <w:p w:rsidR="00F53722" w:rsidRDefault="00C54A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jc w:val="both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海姆立克急救法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模拟气道被异物梗阻后如何利用海姆立克急救法进行急救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包含：对成人施救、成人自救、对孕妇施救、对</w:t>
      </w:r>
      <w:r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岁以下儿童施救、对婴儿施救、对昏迷患者施救等</w:t>
      </w:r>
      <w:r>
        <w:rPr>
          <w:rFonts w:ascii="微软雅黑" w:eastAsia="微软雅黑" w:hAnsi="微软雅黑" w:cs="微软雅黑" w:hint="eastAsia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个部分。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每一步操作前需用三维动画模拟人做教学动作示范。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F53722">
      <w:pPr>
        <w:rPr>
          <w:rFonts w:ascii="微软雅黑" w:eastAsia="微软雅黑" w:hAnsi="微软雅黑" w:cs="微软雅黑"/>
          <w:sz w:val="18"/>
          <w:szCs w:val="18"/>
        </w:rPr>
      </w:pPr>
    </w:p>
    <w:p w:rsidR="00F53722" w:rsidRDefault="00C54A36">
      <w:pPr>
        <w:adjustRightInd w:val="0"/>
        <w:snapToGrid w:val="0"/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单人心肺复苏模块（成人）：</w:t>
      </w:r>
    </w:p>
    <w:p w:rsidR="00F53722" w:rsidRDefault="00C54A36">
      <w:pPr>
        <w:adjustRightInd w:val="0"/>
        <w:snapToGrid w:val="0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教学模式：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720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°全景观看虚拟模型三维动画现场教学（心跳骤停急救—心肺复苏）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步骤流程：</w:t>
      </w:r>
      <w:r>
        <w:rPr>
          <w:rFonts w:ascii="微软雅黑" w:eastAsia="微软雅黑" w:hAnsi="微软雅黑" w:cs="微软雅黑" w:hint="eastAsia"/>
          <w:sz w:val="18"/>
          <w:szCs w:val="18"/>
        </w:rPr>
        <w:t>判断意识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>呼叫救援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>检查脉搏，同时检查呼吸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>胸外按压（包含按压部位、按压手势姿势、按压深度、按压频率、回弹等）疏通气道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>AED</w:t>
      </w:r>
      <w:r>
        <w:rPr>
          <w:rFonts w:ascii="微软雅黑" w:eastAsia="微软雅黑" w:hAnsi="微软雅黑" w:cs="微软雅黑" w:hint="eastAsia"/>
          <w:sz w:val="18"/>
          <w:szCs w:val="18"/>
        </w:rPr>
        <w:t>的使用</w:t>
      </w:r>
      <w:r>
        <w:rPr>
          <w:rFonts w:ascii="微软雅黑" w:eastAsia="微软雅黑" w:hAnsi="微软雅黑" w:cs="微软雅黑" w:hint="eastAsia"/>
          <w:sz w:val="18"/>
          <w:szCs w:val="18"/>
        </w:rPr>
        <w:t>。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F53722">
      <w:pPr>
        <w:rPr>
          <w:rFonts w:ascii="微软雅黑" w:eastAsia="微软雅黑" w:hAnsi="微软雅黑" w:cs="微软雅黑"/>
          <w:sz w:val="18"/>
          <w:szCs w:val="18"/>
        </w:rPr>
      </w:pPr>
    </w:p>
    <w:p w:rsidR="00F53722" w:rsidRDefault="00C54A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搬运转运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：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VR</w:t>
      </w:r>
      <w:r>
        <w:rPr>
          <w:rFonts w:ascii="微软雅黑" w:eastAsia="微软雅黑" w:hAnsi="微软雅黑" w:cs="微软雅黑" w:hint="eastAsia"/>
          <w:sz w:val="18"/>
          <w:szCs w:val="18"/>
        </w:rPr>
        <w:t>全景大屏播放各类搬运转运专业学习视频</w:t>
      </w:r>
    </w:p>
    <w:p w:rsidR="00F53722" w:rsidRDefault="00F53722">
      <w:pPr>
        <w:rPr>
          <w:rFonts w:ascii="微软雅黑" w:eastAsia="微软雅黑" w:hAnsi="微软雅黑" w:cs="微软雅黑"/>
          <w:sz w:val="18"/>
          <w:szCs w:val="18"/>
        </w:rPr>
      </w:pPr>
    </w:p>
    <w:p w:rsidR="00F53722" w:rsidRDefault="00C54A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Arial" w:eastAsia="微软雅黑" w:hAnsi="Arial" w:cs="Arial"/>
          <w:b/>
          <w:color w:val="FF0000"/>
          <w:sz w:val="30"/>
          <w:szCs w:val="30"/>
        </w:rPr>
        <w:t>*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检伤分类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训练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：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判断模拟爆炸事件发生后造成了大量人员伤亡，救援人员来到现场进行分类检伤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伤员数量</w:t>
      </w:r>
      <w:r>
        <w:rPr>
          <w:rFonts w:ascii="微软雅黑" w:eastAsia="微软雅黑" w:hAnsi="微软雅黑" w:cs="微软雅黑" w:hint="eastAsia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人以上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按照</w:t>
      </w:r>
      <w:r>
        <w:rPr>
          <w:rFonts w:ascii="微软雅黑" w:eastAsia="微软雅黑" w:hAnsi="微软雅黑" w:cs="微软雅黑" w:hint="eastAsia"/>
          <w:sz w:val="18"/>
          <w:szCs w:val="18"/>
        </w:rPr>
        <w:t>START</w:t>
      </w:r>
      <w:r>
        <w:rPr>
          <w:rFonts w:ascii="微软雅黑" w:eastAsia="微软雅黑" w:hAnsi="微软雅黑" w:cs="微软雅黑" w:hint="eastAsia"/>
          <w:sz w:val="18"/>
          <w:szCs w:val="18"/>
        </w:rPr>
        <w:t>检伤分类法流程进行检伤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伤员包含：受伤程度：已死亡、重症患者、中等伤情、轻伤、无伤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体位：仰卧位、俯卧位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生命体征涵盖：有呼吸（呼吸正常、呼吸大于</w:t>
      </w:r>
      <w:r>
        <w:rPr>
          <w:rFonts w:ascii="微软雅黑" w:eastAsia="微软雅黑" w:hAnsi="微软雅黑" w:cs="微软雅黑" w:hint="eastAsia"/>
          <w:sz w:val="18"/>
          <w:szCs w:val="18"/>
        </w:rPr>
        <w:t>30</w:t>
      </w:r>
      <w:r>
        <w:rPr>
          <w:rFonts w:ascii="微软雅黑" w:eastAsia="微软雅黑" w:hAnsi="微软雅黑" w:cs="微软雅黑" w:hint="eastAsia"/>
          <w:sz w:val="18"/>
          <w:szCs w:val="18"/>
        </w:rPr>
        <w:t>次</w:t>
      </w:r>
      <w:r>
        <w:rPr>
          <w:rFonts w:ascii="微软雅黑" w:eastAsia="微软雅黑" w:hAnsi="微软雅黑" w:cs="微软雅黑" w:hint="eastAsia"/>
          <w:sz w:val="18"/>
          <w:szCs w:val="18"/>
        </w:rPr>
        <w:t>/</w:t>
      </w:r>
      <w:r>
        <w:rPr>
          <w:rFonts w:ascii="微软雅黑" w:eastAsia="微软雅黑" w:hAnsi="微软雅黑" w:cs="微软雅黑" w:hint="eastAsia"/>
          <w:sz w:val="18"/>
          <w:szCs w:val="18"/>
        </w:rPr>
        <w:t>分、呼吸小于</w:t>
      </w:r>
      <w:r>
        <w:rPr>
          <w:rFonts w:ascii="微软雅黑" w:eastAsia="微软雅黑" w:hAnsi="微软雅黑" w:cs="微软雅黑" w:hint="eastAsia"/>
          <w:sz w:val="18"/>
          <w:szCs w:val="18"/>
        </w:rPr>
        <w:t>30</w:t>
      </w:r>
      <w:r>
        <w:rPr>
          <w:rFonts w:ascii="微软雅黑" w:eastAsia="微软雅黑" w:hAnsi="微软雅黑" w:cs="微软雅黑" w:hint="eastAsia"/>
          <w:sz w:val="18"/>
          <w:szCs w:val="18"/>
        </w:rPr>
        <w:t>次</w:t>
      </w:r>
      <w:r>
        <w:rPr>
          <w:rFonts w:ascii="微软雅黑" w:eastAsia="微软雅黑" w:hAnsi="微软雅黑" w:cs="微软雅黑" w:hint="eastAsia"/>
          <w:sz w:val="18"/>
          <w:szCs w:val="18"/>
        </w:rPr>
        <w:t>/</w:t>
      </w:r>
      <w:r>
        <w:rPr>
          <w:rFonts w:ascii="微软雅黑" w:eastAsia="微软雅黑" w:hAnsi="微软雅黑" w:cs="微软雅黑" w:hint="eastAsia"/>
          <w:sz w:val="18"/>
          <w:szCs w:val="18"/>
        </w:rPr>
        <w:t>分）、无呼吸、有脉搏、无脉搏、有意识、无意识、能遵从指令、不能遵从指令</w:t>
      </w:r>
      <w:r>
        <w:rPr>
          <w:rFonts w:ascii="微软雅黑" w:eastAsia="微软雅黑" w:hAnsi="微软雅黑" w:cs="微软雅黑" w:hint="eastAsia"/>
          <w:sz w:val="18"/>
          <w:szCs w:val="18"/>
        </w:rPr>
        <w:t>按照</w:t>
      </w:r>
      <w:r>
        <w:rPr>
          <w:rFonts w:ascii="微软雅黑" w:eastAsia="微软雅黑" w:hAnsi="微软雅黑" w:cs="微软雅黑" w:hint="eastAsia"/>
          <w:sz w:val="18"/>
          <w:szCs w:val="18"/>
        </w:rPr>
        <w:t>START</w:t>
      </w:r>
      <w:r>
        <w:rPr>
          <w:rFonts w:ascii="微软雅黑" w:eastAsia="微软雅黑" w:hAnsi="微软雅黑" w:cs="微软雅黑" w:hint="eastAsia"/>
          <w:sz w:val="18"/>
          <w:szCs w:val="18"/>
        </w:rPr>
        <w:t>检伤分类法流程进行检伤</w:t>
      </w:r>
    </w:p>
    <w:p w:rsidR="00F53722" w:rsidRDefault="00C54A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jc w:val="both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车祸救援</w:t>
      </w:r>
    </w:p>
    <w:p w:rsidR="00F53722" w:rsidRDefault="00C54A3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ind w:left="220" w:hanging="22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模拟车辆失控撞伤行人，操作者根据提示学习如果对伤者进行救援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包含：呼救、打</w:t>
      </w:r>
      <w:r>
        <w:rPr>
          <w:rFonts w:ascii="微软雅黑" w:eastAsia="微软雅黑" w:hAnsi="微软雅黑" w:cs="微软雅黑" w:hint="eastAsia"/>
          <w:sz w:val="18"/>
          <w:szCs w:val="18"/>
        </w:rPr>
        <w:t>120</w:t>
      </w:r>
      <w:r>
        <w:rPr>
          <w:rFonts w:ascii="微软雅黑" w:eastAsia="微软雅黑" w:hAnsi="微软雅黑" w:cs="微软雅黑" w:hint="eastAsia"/>
          <w:sz w:val="18"/>
          <w:szCs w:val="18"/>
        </w:rPr>
        <w:t>、保护现场安全、评估、固定、安抚等待救援人员到来等主要步骤。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可提供现场演示）</w:t>
      </w:r>
    </w:p>
    <w:p w:rsidR="00F53722" w:rsidRDefault="00C54A36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2.</w:t>
      </w:r>
      <w:r>
        <w:rPr>
          <w:rFonts w:ascii="微软雅黑" w:eastAsia="微软雅黑" w:hAnsi="微软雅黑" w:cs="微软雅黑" w:hint="eastAsia"/>
          <w:b/>
          <w:bCs/>
          <w:szCs w:val="21"/>
        </w:rPr>
        <w:t>硬件配置</w:t>
      </w:r>
    </w:p>
    <w:p w:rsidR="00F53722" w:rsidRDefault="00C54A36">
      <w:pPr>
        <w:rPr>
          <w:rFonts w:ascii="微软雅黑" w:eastAsia="微软雅黑" w:hAnsi="微软雅黑" w:cs="微软雅黑"/>
          <w:b/>
          <w:bCs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1.VR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一体机头显：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处理器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: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高通骁龙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845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八核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2.8GHz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64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位，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Kryo385 CPU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10nm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制程工艺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Adreno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630 GPU Hexagon 685 DSP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屏幕及光学屏幕：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3840x2160 4K 75Hz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快速响应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LCD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显示屏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镜片：菲涅尔镜片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视场角：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101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°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可佩戴眼镜设计，无需视力调节，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55-71mm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自适应瞳距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通过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TUV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低蓝光认证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，可在系统设置中开启“护眼模式”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存储内存：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4GB LPDDR4X 1866MHz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闪存：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 xml:space="preserve"> 128GB UFS2.1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最高支持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256GB Micro-SD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卡扩展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机身传感器第三代双目式头部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6DoF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定位系统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电磁式双手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6DoF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定位系统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高精度九轴传感器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距离传感器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材质及佩戴头盔：轻质聚合物机身，薄壁注塑工艺，航空级轻金属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佩戴：混合式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O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型佩戴结构，两侧绑带快速调节设计，多段可调自适应顶部绑带，机身电池后置</w:t>
      </w:r>
    </w:p>
    <w:p w:rsidR="00F53722" w:rsidRDefault="00C54A36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面罩：高透气性泡棉，轻质复合支撑结构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2.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大屏显示器：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显示屏尺寸：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50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寸，屏幕</w:t>
      </w:r>
      <w:r>
        <w:rPr>
          <w:rFonts w:ascii="微软雅黑" w:eastAsia="微软雅黑" w:hAnsi="微软雅黑" w:cs="微软雅黑" w:hint="eastAsia"/>
          <w:sz w:val="18"/>
          <w:szCs w:val="18"/>
        </w:rPr>
        <w:t>分辨率：</w:t>
      </w:r>
      <w:r>
        <w:rPr>
          <w:rFonts w:ascii="微软雅黑" w:eastAsia="微软雅黑" w:hAnsi="微软雅黑" w:cs="微软雅黑" w:hint="eastAsia"/>
          <w:sz w:val="18"/>
          <w:szCs w:val="18"/>
        </w:rPr>
        <w:t>2840*2160</w:t>
      </w:r>
      <w:r>
        <w:rPr>
          <w:rFonts w:ascii="微软雅黑" w:eastAsia="微软雅黑" w:hAnsi="微软雅黑" w:cs="微软雅黑" w:hint="eastAsia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sz w:val="18"/>
          <w:szCs w:val="18"/>
        </w:rPr>
        <w:t>HDMI</w:t>
      </w:r>
      <w:r>
        <w:rPr>
          <w:rFonts w:ascii="微软雅黑" w:eastAsia="微软雅黑" w:hAnsi="微软雅黑" w:cs="微软雅黑" w:hint="eastAsia"/>
          <w:sz w:val="18"/>
          <w:szCs w:val="18"/>
        </w:rPr>
        <w:t>接口</w:t>
      </w:r>
      <w:r>
        <w:rPr>
          <w:rFonts w:ascii="微软雅黑" w:eastAsia="微软雅黑" w:hAnsi="微软雅黑" w:cs="微软雅黑" w:hint="eastAsia"/>
          <w:sz w:val="18"/>
          <w:szCs w:val="18"/>
        </w:rPr>
        <w:t>.</w:t>
      </w:r>
    </w:p>
    <w:p w:rsidR="00F53722" w:rsidRDefault="00C54A36">
      <w:pPr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3.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无线投屏设备：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外置天线，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2.4G+5G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频段，输出接口：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HDMI+VGA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，分辨率：</w:t>
      </w: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4K/60HZ</w:t>
      </w:r>
    </w:p>
    <w:p w:rsidR="00F53722" w:rsidRDefault="00C54A36">
      <w:pPr>
        <w:rPr>
          <w:rFonts w:ascii="黑体" w:eastAsia="黑体" w:hAnsi="黑体" w:cs="黑体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lastRenderedPageBreak/>
        <w:t>4.</w:t>
      </w:r>
      <w:r>
        <w:rPr>
          <w:rFonts w:ascii="微软雅黑" w:eastAsia="微软雅黑" w:hAnsi="微软雅黑" w:cs="微软雅黑" w:hint="eastAsia"/>
          <w:b/>
          <w:bCs/>
          <w:kern w:val="0"/>
          <w:sz w:val="18"/>
          <w:szCs w:val="18"/>
        </w:rPr>
        <w:t>配件</w:t>
      </w:r>
      <w:r>
        <w:rPr>
          <w:rFonts w:ascii="黑体" w:eastAsia="黑体" w:hAnsi="黑体" w:cs="黑体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18"/>
          <w:szCs w:val="18"/>
        </w:rPr>
        <w:t>路由器、连接线等</w:t>
      </w:r>
    </w:p>
    <w:p w:rsidR="00F53722" w:rsidRDefault="00F53722">
      <w:pPr>
        <w:rPr>
          <w:rFonts w:ascii="微软雅黑" w:eastAsia="微软雅黑" w:hAnsi="微软雅黑" w:cs="微软雅黑"/>
          <w:sz w:val="18"/>
          <w:szCs w:val="18"/>
        </w:rPr>
      </w:pPr>
    </w:p>
    <w:p w:rsidR="00F53722" w:rsidRDefault="00F53722">
      <w:pPr>
        <w:rPr>
          <w:rFonts w:ascii="微软雅黑" w:eastAsia="微软雅黑" w:hAnsi="微软雅黑" w:cs="微软雅黑"/>
          <w:szCs w:val="21"/>
        </w:rPr>
      </w:pPr>
    </w:p>
    <w:p w:rsidR="00F53722" w:rsidRDefault="00C54A36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3.</w:t>
      </w:r>
      <w:r>
        <w:rPr>
          <w:rFonts w:ascii="微软雅黑" w:eastAsia="微软雅黑" w:hAnsi="微软雅黑" w:cs="微软雅黑" w:hint="eastAsia"/>
          <w:b/>
          <w:bCs/>
          <w:szCs w:val="21"/>
        </w:rPr>
        <w:t>售后服务要求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安装培训：工程师现场安装培训。主机保修期：</w:t>
      </w:r>
      <w:r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年，</w:t>
      </w:r>
      <w:r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年内软件版本免费升级。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售后服务：维修响应时间</w:t>
      </w:r>
      <w:r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小时内，</w:t>
      </w:r>
      <w:r>
        <w:rPr>
          <w:rFonts w:ascii="微软雅黑" w:eastAsia="微软雅黑" w:hAnsi="微软雅黑" w:cs="微软雅黑" w:hint="eastAsia"/>
          <w:sz w:val="18"/>
          <w:szCs w:val="18"/>
        </w:rPr>
        <w:t>72</w:t>
      </w:r>
      <w:r>
        <w:rPr>
          <w:rFonts w:ascii="微软雅黑" w:eastAsia="微软雅黑" w:hAnsi="微软雅黑" w:cs="微软雅黑" w:hint="eastAsia"/>
          <w:sz w:val="18"/>
          <w:szCs w:val="18"/>
        </w:rPr>
        <w:t>小时内到达现场，提供及时优秀的售后技术服务</w:t>
      </w:r>
    </w:p>
    <w:p w:rsidR="00F53722" w:rsidRDefault="00C54A36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交货期：合同签订后</w:t>
      </w:r>
      <w:r>
        <w:rPr>
          <w:rFonts w:ascii="微软雅黑" w:eastAsia="微软雅黑" w:hAnsi="微软雅黑" w:cs="微软雅黑" w:hint="eastAsia"/>
          <w:sz w:val="18"/>
          <w:szCs w:val="18"/>
        </w:rPr>
        <w:t>30</w:t>
      </w:r>
      <w:r>
        <w:rPr>
          <w:rFonts w:ascii="微软雅黑" w:eastAsia="微软雅黑" w:hAnsi="微软雅黑" w:cs="微软雅黑" w:hint="eastAsia"/>
          <w:sz w:val="18"/>
          <w:szCs w:val="18"/>
        </w:rPr>
        <w:t>日内</w:t>
      </w:r>
    </w:p>
    <w:p w:rsidR="00F53722" w:rsidRDefault="00F53722"/>
    <w:sectPr w:rsidR="00F5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36" w:rsidRDefault="00C54A36" w:rsidP="00624FB6">
      <w:r>
        <w:separator/>
      </w:r>
    </w:p>
  </w:endnote>
  <w:endnote w:type="continuationSeparator" w:id="0">
    <w:p w:rsidR="00C54A36" w:rsidRDefault="00C54A36" w:rsidP="006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36" w:rsidRDefault="00C54A36" w:rsidP="00624FB6">
      <w:r>
        <w:separator/>
      </w:r>
    </w:p>
  </w:footnote>
  <w:footnote w:type="continuationSeparator" w:id="0">
    <w:p w:rsidR="00C54A36" w:rsidRDefault="00C54A36" w:rsidP="006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8997A3"/>
    <w:multiLevelType w:val="singleLevel"/>
    <w:tmpl w:val="BB8997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C91AB34"/>
    <w:multiLevelType w:val="singleLevel"/>
    <w:tmpl w:val="1C91AB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F43B8"/>
    <w:rsid w:val="00624FB6"/>
    <w:rsid w:val="00C54A36"/>
    <w:rsid w:val="00F53722"/>
    <w:rsid w:val="0B7F43B8"/>
    <w:rsid w:val="1BB06888"/>
    <w:rsid w:val="221C2D3E"/>
    <w:rsid w:val="252431B8"/>
    <w:rsid w:val="25244078"/>
    <w:rsid w:val="4A2758E2"/>
    <w:rsid w:val="662F159F"/>
    <w:rsid w:val="66651BCC"/>
    <w:rsid w:val="6D535020"/>
    <w:rsid w:val="7D4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AA884-20A0-4EAC-BA33-F46F53E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62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4FB6"/>
    <w:rPr>
      <w:kern w:val="2"/>
      <w:sz w:val="18"/>
      <w:szCs w:val="18"/>
    </w:rPr>
  </w:style>
  <w:style w:type="paragraph" w:styleId="a4">
    <w:name w:val="footer"/>
    <w:basedOn w:val="a"/>
    <w:link w:val="Char0"/>
    <w:rsid w:val="0062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4F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b-ml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小马哥</dc:creator>
  <cp:lastModifiedBy>dell</cp:lastModifiedBy>
  <cp:revision>2</cp:revision>
  <cp:lastPrinted>2020-10-27T07:42:00Z</cp:lastPrinted>
  <dcterms:created xsi:type="dcterms:W3CDTF">2020-09-25T02:32:00Z</dcterms:created>
  <dcterms:modified xsi:type="dcterms:W3CDTF">2020-10-29T00:47:00Z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